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6822" w14:textId="77777777" w:rsidR="00786F76" w:rsidRDefault="00786F76" w:rsidP="00786F76">
      <w:pPr>
        <w:jc w:val="center"/>
      </w:pPr>
    </w:p>
    <w:p w14:paraId="68BABC81" w14:textId="60BD78F5" w:rsidR="00786F76" w:rsidRPr="004874CB" w:rsidRDefault="00294EB5" w:rsidP="00B97D06">
      <w:pPr>
        <w:tabs>
          <w:tab w:val="left" w:pos="1427"/>
          <w:tab w:val="center" w:pos="5400"/>
        </w:tabs>
        <w:rPr>
          <w:rFonts w:ascii="Times" w:hAnsi="Times"/>
          <w:b/>
          <w:sz w:val="36"/>
          <w:szCs w:val="36"/>
          <w:u w:val="single"/>
        </w:rPr>
      </w:pPr>
      <w:r w:rsidRPr="004874CB">
        <w:rPr>
          <w:rFonts w:ascii="Times" w:hAnsi="Times" w:cs="Arial"/>
          <w:color w:val="260026"/>
          <w:sz w:val="36"/>
          <w:szCs w:val="36"/>
          <w:u w:color="260026"/>
        </w:rPr>
        <w:t xml:space="preserve">INTA </w:t>
      </w:r>
      <w:r w:rsidR="005813FF">
        <w:rPr>
          <w:rFonts w:ascii="Times" w:hAnsi="Times" w:cs="Arial"/>
          <w:color w:val="260026"/>
          <w:sz w:val="36"/>
          <w:szCs w:val="36"/>
          <w:u w:color="260026"/>
        </w:rPr>
        <w:t>3223</w:t>
      </w:r>
      <w:r w:rsidRPr="004874CB">
        <w:rPr>
          <w:rFonts w:ascii="Times" w:hAnsi="Times" w:cs="Arial"/>
          <w:color w:val="260026"/>
          <w:sz w:val="36"/>
          <w:szCs w:val="36"/>
          <w:u w:color="260026"/>
        </w:rPr>
        <w:t xml:space="preserve">: </w:t>
      </w:r>
      <w:r w:rsidR="00462755">
        <w:rPr>
          <w:rFonts w:ascii="Times" w:hAnsi="Times" w:cs="Arial"/>
          <w:color w:val="260026"/>
          <w:sz w:val="36"/>
          <w:szCs w:val="36"/>
          <w:u w:color="260026"/>
        </w:rPr>
        <w:t>Transatlantic Relations</w:t>
      </w:r>
    </w:p>
    <w:p w14:paraId="74472804" w14:textId="57985A82" w:rsidR="00BD3CFF" w:rsidRDefault="00BD3CFF" w:rsidP="00786F76">
      <w:pPr>
        <w:jc w:val="center"/>
      </w:pPr>
    </w:p>
    <w:p w14:paraId="1A1F16C0" w14:textId="77777777" w:rsidR="00B97D06" w:rsidRPr="00C50706" w:rsidRDefault="00B97D06" w:rsidP="00B97D06">
      <w:pPr>
        <w:shd w:val="clear" w:color="auto" w:fill="FFFFFF" w:themeFill="background1"/>
        <w:spacing w:before="240" w:after="60"/>
        <w:outlineLvl w:val="0"/>
        <w:rPr>
          <w:b/>
          <w:sz w:val="28"/>
          <w:szCs w:val="28"/>
        </w:rPr>
      </w:pPr>
      <w:r w:rsidRPr="00C50706">
        <w:rPr>
          <w:b/>
          <w:sz w:val="28"/>
          <w:szCs w:val="28"/>
        </w:rPr>
        <w:t>Dr. Alasdair Young</w:t>
      </w:r>
      <w:r>
        <w:rPr>
          <w:b/>
          <w:sz w:val="28"/>
          <w:szCs w:val="28"/>
        </w:rPr>
        <w:t xml:space="preserve"> and Dr. Claire Greenstein</w:t>
      </w:r>
    </w:p>
    <w:p w14:paraId="35B8895C" w14:textId="77777777" w:rsidR="00B97D06" w:rsidRPr="00305A70" w:rsidRDefault="00B97D06" w:rsidP="00B97D06">
      <w:pPr>
        <w:rPr>
          <w:rFonts w:ascii="Verdana" w:hAnsi="Verdana"/>
          <w:color w:val="000000"/>
        </w:rPr>
      </w:pPr>
    </w:p>
    <w:p w14:paraId="037A5E73" w14:textId="77777777" w:rsidR="00B97D06" w:rsidRPr="00C50706" w:rsidRDefault="00B97D06" w:rsidP="00B97D06">
      <w:pPr>
        <w:spacing w:before="120" w:after="120"/>
        <w:outlineLvl w:val="0"/>
        <w:rPr>
          <w:b/>
          <w:sz w:val="28"/>
          <w:szCs w:val="28"/>
          <w:u w:val="single"/>
        </w:rPr>
      </w:pPr>
      <w:r w:rsidRPr="00C50706">
        <w:rPr>
          <w:b/>
          <w:sz w:val="28"/>
          <w:szCs w:val="28"/>
          <w:u w:val="single"/>
        </w:rPr>
        <w:t>Core attributes fulfilled</w:t>
      </w:r>
    </w:p>
    <w:p w14:paraId="088614F5" w14:textId="77777777" w:rsidR="00B97D06" w:rsidRPr="00C50706" w:rsidRDefault="00B97D06" w:rsidP="00B97D06">
      <w:pPr>
        <w:shd w:val="clear" w:color="auto" w:fill="FFFFFF" w:themeFill="background1"/>
        <w:spacing w:after="120"/>
        <w:outlineLvl w:val="0"/>
      </w:pPr>
      <w:r w:rsidRPr="00C50706">
        <w:t xml:space="preserve">Social Science </w:t>
      </w:r>
      <w:r>
        <w:t>General Education requirement</w:t>
      </w:r>
    </w:p>
    <w:p w14:paraId="0AD50CEA" w14:textId="2A5D1EC3" w:rsidR="00B97D06" w:rsidRDefault="00B97D06" w:rsidP="00B97D06"/>
    <w:p w14:paraId="5171E9B1" w14:textId="77777777" w:rsidR="00B97D06" w:rsidRDefault="00B97D06" w:rsidP="00786F76">
      <w:pPr>
        <w:jc w:val="center"/>
      </w:pPr>
    </w:p>
    <w:p w14:paraId="0AAE528F" w14:textId="77777777" w:rsidR="00B97D06" w:rsidRPr="00C50706" w:rsidRDefault="00B97D06" w:rsidP="00B97D06">
      <w:pPr>
        <w:spacing w:after="120"/>
        <w:outlineLvl w:val="0"/>
        <w:rPr>
          <w:b/>
          <w:sz w:val="28"/>
          <w:szCs w:val="28"/>
          <w:u w:val="single"/>
        </w:rPr>
      </w:pPr>
      <w:r w:rsidRPr="00C50706">
        <w:rPr>
          <w:b/>
          <w:sz w:val="28"/>
          <w:szCs w:val="28"/>
          <w:u w:val="single"/>
        </w:rPr>
        <w:t>Course description</w:t>
      </w:r>
    </w:p>
    <w:p w14:paraId="333E2EC9" w14:textId="47C7D8B5" w:rsidR="00786F76" w:rsidRDefault="00462755" w:rsidP="00786F76">
      <w:pPr>
        <w:rPr>
          <w:i/>
        </w:rPr>
      </w:pPr>
      <w:r w:rsidRPr="00B03D5E">
        <w:t>Despite the rapid rise of China and the ot</w:t>
      </w:r>
      <w:r>
        <w:t>her emerging economies, Europe</w:t>
      </w:r>
      <w:r w:rsidRPr="00B03D5E">
        <w:t xml:space="preserve"> is by far the United States’ most important economic partner. It is also a critical political partner, as underlined in the war in Afgha</w:t>
      </w:r>
      <w:r w:rsidR="005B5685">
        <w:t xml:space="preserve">nistan and </w:t>
      </w:r>
      <w:r w:rsidRPr="00B03D5E">
        <w:t xml:space="preserve">sanctions against Iran and </w:t>
      </w:r>
      <w:r w:rsidR="005B5685">
        <w:t>Russia.</w:t>
      </w:r>
      <w:r w:rsidRPr="00B03D5E">
        <w:t xml:space="preserve">  This course analyses the politics of governing this </w:t>
      </w:r>
      <w:r>
        <w:t>crucial</w:t>
      </w:r>
      <w:r w:rsidRPr="00B03D5E">
        <w:t xml:space="preserve"> relationship.  It aims to help students to understand why different aspects of the relationship between the United States and Europe are characterized by cooperation, conflict and competition.  </w:t>
      </w:r>
    </w:p>
    <w:p w14:paraId="7395AF88" w14:textId="77777777" w:rsidR="00F62C44" w:rsidRDefault="00F62C44" w:rsidP="00786F76">
      <w:pPr>
        <w:rPr>
          <w:i/>
        </w:rPr>
      </w:pPr>
    </w:p>
    <w:p w14:paraId="2A3F360C" w14:textId="77777777" w:rsidR="00B97D06" w:rsidRPr="00C50706" w:rsidRDefault="00B97D06" w:rsidP="00B97D06">
      <w:pPr>
        <w:rPr>
          <w:b/>
          <w:sz w:val="28"/>
          <w:szCs w:val="28"/>
          <w:u w:val="single"/>
        </w:rPr>
      </w:pPr>
      <w:r w:rsidRPr="00C50706">
        <w:rPr>
          <w:b/>
          <w:sz w:val="28"/>
          <w:szCs w:val="28"/>
          <w:u w:val="single"/>
        </w:rPr>
        <w:t>Intended learning outcomes</w:t>
      </w:r>
    </w:p>
    <w:p w14:paraId="56093B81" w14:textId="77777777" w:rsidR="00B97D06" w:rsidRPr="00C50706" w:rsidRDefault="00B97D06" w:rsidP="00B97D06">
      <w:r w:rsidRPr="00C50706">
        <w:t>By the end of this course, students will:</w:t>
      </w:r>
    </w:p>
    <w:p w14:paraId="3B3CB934" w14:textId="77777777" w:rsidR="00B97D06" w:rsidRDefault="00B97D06" w:rsidP="00B97D06">
      <w:pPr>
        <w:numPr>
          <w:ilvl w:val="0"/>
          <w:numId w:val="6"/>
        </w:numPr>
      </w:pPr>
      <w:r w:rsidRPr="00C50706">
        <w:t>demonstrate</w:t>
      </w:r>
      <w:r>
        <w:t xml:space="preserve"> the ability to </w:t>
      </w:r>
      <w:r w:rsidRPr="00C50706">
        <w:t>describe the social, political, and economic forces that influence social behaviors associate</w:t>
      </w:r>
      <w:r>
        <w:t>d</w:t>
      </w:r>
      <w:r w:rsidRPr="00C50706">
        <w:t xml:space="preserve"> with </w:t>
      </w:r>
      <w:r>
        <w:t xml:space="preserve">European integration and </w:t>
      </w:r>
      <w:proofErr w:type="gramStart"/>
      <w:r>
        <w:t>policy-making</w:t>
      </w:r>
      <w:proofErr w:type="gramEnd"/>
      <w:r w:rsidRPr="00C50706">
        <w:t>;</w:t>
      </w:r>
    </w:p>
    <w:p w14:paraId="2399C49A" w14:textId="77777777" w:rsidR="00B97D06" w:rsidRPr="00C50706" w:rsidRDefault="00B97D06" w:rsidP="00B97D06">
      <w:pPr>
        <w:numPr>
          <w:ilvl w:val="0"/>
          <w:numId w:val="6"/>
        </w:numPr>
      </w:pPr>
      <w:r w:rsidRPr="00C50706">
        <w:t>demonstrate</w:t>
      </w:r>
      <w:r w:rsidRPr="00BC521B">
        <w:t xml:space="preserve"> theoretical knowledge of the discipline to address international policy issues</w:t>
      </w:r>
      <w:r w:rsidRPr="00C50706">
        <w:t xml:space="preserve">; </w:t>
      </w:r>
    </w:p>
    <w:p w14:paraId="5D181113" w14:textId="77777777" w:rsidR="00B97D06" w:rsidRDefault="00B97D06" w:rsidP="00B97D06">
      <w:pPr>
        <w:numPr>
          <w:ilvl w:val="0"/>
          <w:numId w:val="6"/>
        </w:numPr>
      </w:pPr>
      <w:r w:rsidRPr="00BC521B">
        <w:t>use oral communication to demonstrate knowledge and to make cogent arguments in international affairs</w:t>
      </w:r>
      <w:r>
        <w:t>.</w:t>
      </w:r>
    </w:p>
    <w:p w14:paraId="7F53EA87" w14:textId="77777777" w:rsidR="00B97D06" w:rsidRPr="00C50706" w:rsidRDefault="00B97D06" w:rsidP="00B97D06">
      <w:pPr>
        <w:ind w:left="720"/>
      </w:pPr>
    </w:p>
    <w:p w14:paraId="6793E2D5" w14:textId="77777777" w:rsidR="00B97D06" w:rsidRDefault="00B97D06" w:rsidP="00B97D06">
      <w:pPr>
        <w:ind w:left="720" w:hanging="72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Text book</w:t>
      </w:r>
      <w:proofErr w:type="gramEnd"/>
    </w:p>
    <w:p w14:paraId="3CF97AC4" w14:textId="03C4BB2C" w:rsidR="00072180" w:rsidRDefault="00072180" w:rsidP="00B97D06">
      <w:pPr>
        <w:ind w:left="720" w:hanging="720"/>
      </w:pPr>
      <w:r>
        <w:t xml:space="preserve">McGuire, S. and Smith, M. (2008), </w:t>
      </w:r>
      <w:r>
        <w:rPr>
          <w:i/>
        </w:rPr>
        <w:t>The European Union and the United States: Competition and Convergence in the Global Arena</w:t>
      </w:r>
      <w:r>
        <w:t>, Palgrave Macmillan.</w:t>
      </w:r>
    </w:p>
    <w:p w14:paraId="2D4D49F9" w14:textId="091B97C6" w:rsidR="006C2419" w:rsidRDefault="006C2419" w:rsidP="00B97D06">
      <w:pPr>
        <w:ind w:left="720" w:hanging="720"/>
      </w:pPr>
    </w:p>
    <w:p w14:paraId="41ADECF5" w14:textId="77777777" w:rsidR="006C2419" w:rsidRDefault="006C2419" w:rsidP="006C2419">
      <w:pPr>
        <w:rPr>
          <w:bCs/>
          <w:sz w:val="28"/>
          <w:szCs w:val="28"/>
          <w:u w:val="single"/>
        </w:rPr>
      </w:pPr>
      <w:r w:rsidRPr="00C50706">
        <w:rPr>
          <w:b/>
          <w:sz w:val="28"/>
          <w:szCs w:val="28"/>
          <w:u w:val="single"/>
        </w:rPr>
        <w:t>Course overview</w:t>
      </w:r>
    </w:p>
    <w:p w14:paraId="029A30E5" w14:textId="2A540889" w:rsidR="006C2419" w:rsidRDefault="006C2419" w:rsidP="00B97D06">
      <w:pPr>
        <w:ind w:left="720" w:hanging="720"/>
      </w:pPr>
      <w:r>
        <w:t>Importance of the transatlantic relationship</w:t>
      </w:r>
    </w:p>
    <w:p w14:paraId="74D82830" w14:textId="36A2412E" w:rsidR="006C2419" w:rsidRDefault="006C2419" w:rsidP="00B97D06">
      <w:pPr>
        <w:ind w:left="720" w:hanging="720"/>
      </w:pPr>
      <w:r>
        <w:t>History and development of the relationship</w:t>
      </w:r>
    </w:p>
    <w:p w14:paraId="09AB5E67" w14:textId="3105339E" w:rsidR="006C2419" w:rsidRDefault="006C2419" w:rsidP="00B97D06">
      <w:pPr>
        <w:ind w:left="720" w:hanging="720"/>
      </w:pPr>
      <w:r>
        <w:t>Key elements of the relationship</w:t>
      </w:r>
    </w:p>
    <w:p w14:paraId="2F9A0B04" w14:textId="6E3902C6" w:rsidR="006C2419" w:rsidRDefault="006C2419" w:rsidP="006C2419">
      <w:pPr>
        <w:ind w:left="1440" w:hanging="720"/>
      </w:pPr>
      <w:r>
        <w:t>Economic</w:t>
      </w:r>
    </w:p>
    <w:p w14:paraId="1C2C52BA" w14:textId="7EB432C7" w:rsidR="006C2419" w:rsidRDefault="006C2419" w:rsidP="006C2419">
      <w:pPr>
        <w:ind w:left="1440" w:hanging="720"/>
      </w:pPr>
      <w:r>
        <w:t>Security</w:t>
      </w:r>
    </w:p>
    <w:p w14:paraId="620CE830" w14:textId="70EC96E0" w:rsidR="006C2419" w:rsidRDefault="006C2419" w:rsidP="006C2419">
      <w:pPr>
        <w:ind w:left="1440" w:hanging="720"/>
      </w:pPr>
      <w:r>
        <w:t>Political</w:t>
      </w:r>
    </w:p>
    <w:p w14:paraId="3F64F67A" w14:textId="17460203" w:rsidR="006C2419" w:rsidRPr="00072180" w:rsidRDefault="006C2419" w:rsidP="006C2419">
      <w:pPr>
        <w:ind w:left="720" w:hanging="720"/>
      </w:pPr>
      <w:r>
        <w:t>Explaining the relationship</w:t>
      </w:r>
    </w:p>
    <w:p w14:paraId="1D894974" w14:textId="4C90EE3E" w:rsidR="000D3360" w:rsidRDefault="000D3360" w:rsidP="00EF2542">
      <w:pPr>
        <w:rPr>
          <w:color w:val="FF0000"/>
        </w:rPr>
      </w:pPr>
      <w:bookmarkStart w:id="0" w:name="_GoBack"/>
      <w:bookmarkEnd w:id="0"/>
    </w:p>
    <w:p w14:paraId="69D980A5" w14:textId="77777777" w:rsidR="009975E9" w:rsidRDefault="009975E9" w:rsidP="009975E9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</w:tblGrid>
      <w:tr w:rsidR="009975E9" w:rsidRPr="009975E9" w14:paraId="0907EFFD" w14:textId="77777777" w:rsidTr="00791B91">
        <w:tc>
          <w:tcPr>
            <w:tcW w:w="2335" w:type="dxa"/>
          </w:tcPr>
          <w:p w14:paraId="5829380B" w14:textId="77777777" w:rsidR="009975E9" w:rsidRPr="009975E9" w:rsidRDefault="009975E9" w:rsidP="00791B91">
            <w:pPr>
              <w:rPr>
                <w:bCs/>
              </w:rPr>
            </w:pPr>
            <w:r w:rsidRPr="009975E9">
              <w:rPr>
                <w:bCs/>
              </w:rPr>
              <w:t>2 presentations</w:t>
            </w:r>
          </w:p>
        </w:tc>
        <w:tc>
          <w:tcPr>
            <w:tcW w:w="1080" w:type="dxa"/>
          </w:tcPr>
          <w:p w14:paraId="4057F2BC" w14:textId="77777777" w:rsidR="009975E9" w:rsidRPr="009975E9" w:rsidRDefault="009975E9" w:rsidP="00791B91">
            <w:pPr>
              <w:rPr>
                <w:bCs/>
              </w:rPr>
            </w:pPr>
            <w:r w:rsidRPr="009975E9">
              <w:rPr>
                <w:bCs/>
              </w:rPr>
              <w:t>30%</w:t>
            </w:r>
          </w:p>
        </w:tc>
      </w:tr>
      <w:tr w:rsidR="009975E9" w:rsidRPr="009975E9" w14:paraId="4130A3E1" w14:textId="77777777" w:rsidTr="00791B91">
        <w:tc>
          <w:tcPr>
            <w:tcW w:w="2335" w:type="dxa"/>
          </w:tcPr>
          <w:p w14:paraId="108E80A6" w14:textId="77777777" w:rsidR="009975E9" w:rsidRPr="009975E9" w:rsidRDefault="009975E9" w:rsidP="00791B91">
            <w:pPr>
              <w:rPr>
                <w:bCs/>
              </w:rPr>
            </w:pPr>
            <w:r w:rsidRPr="009975E9">
              <w:rPr>
                <w:bCs/>
              </w:rPr>
              <w:t>Mid-term exam</w:t>
            </w:r>
          </w:p>
        </w:tc>
        <w:tc>
          <w:tcPr>
            <w:tcW w:w="1080" w:type="dxa"/>
          </w:tcPr>
          <w:p w14:paraId="45EA1B93" w14:textId="77777777" w:rsidR="009975E9" w:rsidRPr="009975E9" w:rsidRDefault="009975E9" w:rsidP="00791B91">
            <w:pPr>
              <w:rPr>
                <w:bCs/>
              </w:rPr>
            </w:pPr>
            <w:r w:rsidRPr="009975E9">
              <w:rPr>
                <w:bCs/>
              </w:rPr>
              <w:t>20%</w:t>
            </w:r>
          </w:p>
        </w:tc>
      </w:tr>
      <w:tr w:rsidR="009975E9" w:rsidRPr="009975E9" w14:paraId="30BB6B5C" w14:textId="77777777" w:rsidTr="00791B91">
        <w:tc>
          <w:tcPr>
            <w:tcW w:w="2335" w:type="dxa"/>
          </w:tcPr>
          <w:p w14:paraId="020BC18A" w14:textId="77777777" w:rsidR="009975E9" w:rsidRPr="009975E9" w:rsidRDefault="009975E9" w:rsidP="00791B91">
            <w:pPr>
              <w:rPr>
                <w:bCs/>
              </w:rPr>
            </w:pPr>
            <w:r w:rsidRPr="009975E9">
              <w:rPr>
                <w:bCs/>
              </w:rPr>
              <w:t>Final exam</w:t>
            </w:r>
          </w:p>
        </w:tc>
        <w:tc>
          <w:tcPr>
            <w:tcW w:w="1080" w:type="dxa"/>
          </w:tcPr>
          <w:p w14:paraId="180C7399" w14:textId="77777777" w:rsidR="009975E9" w:rsidRPr="009975E9" w:rsidRDefault="009975E9" w:rsidP="00791B91">
            <w:pPr>
              <w:rPr>
                <w:bCs/>
              </w:rPr>
            </w:pPr>
            <w:r w:rsidRPr="009975E9">
              <w:rPr>
                <w:bCs/>
              </w:rPr>
              <w:t>30%</w:t>
            </w:r>
          </w:p>
        </w:tc>
      </w:tr>
      <w:tr w:rsidR="009975E9" w:rsidRPr="009975E9" w14:paraId="7B0DC13F" w14:textId="77777777" w:rsidTr="00791B91">
        <w:tc>
          <w:tcPr>
            <w:tcW w:w="2335" w:type="dxa"/>
          </w:tcPr>
          <w:p w14:paraId="21126A70" w14:textId="77777777" w:rsidR="009975E9" w:rsidRPr="009975E9" w:rsidRDefault="009975E9" w:rsidP="00791B91">
            <w:pPr>
              <w:rPr>
                <w:bCs/>
              </w:rPr>
            </w:pPr>
            <w:r w:rsidRPr="009975E9">
              <w:rPr>
                <w:bCs/>
              </w:rPr>
              <w:t>Class participation</w:t>
            </w:r>
          </w:p>
        </w:tc>
        <w:tc>
          <w:tcPr>
            <w:tcW w:w="1080" w:type="dxa"/>
          </w:tcPr>
          <w:p w14:paraId="5A89FF23" w14:textId="77777777" w:rsidR="009975E9" w:rsidRPr="009975E9" w:rsidRDefault="009975E9" w:rsidP="00791B91">
            <w:pPr>
              <w:rPr>
                <w:bCs/>
              </w:rPr>
            </w:pPr>
            <w:r w:rsidRPr="009975E9">
              <w:rPr>
                <w:bCs/>
              </w:rPr>
              <w:t>20%</w:t>
            </w:r>
          </w:p>
        </w:tc>
      </w:tr>
    </w:tbl>
    <w:p w14:paraId="59BB7E6E" w14:textId="77777777" w:rsidR="009975E9" w:rsidRPr="00092C57" w:rsidRDefault="009975E9" w:rsidP="009975E9">
      <w:pPr>
        <w:rPr>
          <w:bCs/>
          <w:sz w:val="28"/>
          <w:szCs w:val="28"/>
        </w:rPr>
      </w:pPr>
    </w:p>
    <w:p w14:paraId="6F1092B8" w14:textId="77777777" w:rsidR="009975E9" w:rsidRDefault="009975E9" w:rsidP="00EF2542">
      <w:pPr>
        <w:rPr>
          <w:color w:val="FF0000"/>
        </w:rPr>
      </w:pPr>
    </w:p>
    <w:sectPr w:rsidR="009975E9" w:rsidSect="00786F7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D88E" w14:textId="77777777" w:rsidR="00E14E84" w:rsidRDefault="00E14E84" w:rsidP="00867557">
      <w:r>
        <w:separator/>
      </w:r>
    </w:p>
  </w:endnote>
  <w:endnote w:type="continuationSeparator" w:id="0">
    <w:p w14:paraId="425F72B3" w14:textId="77777777" w:rsidR="00E14E84" w:rsidRDefault="00E14E84" w:rsidP="0086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171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228F3" w14:textId="212BDF87" w:rsidR="006F05B2" w:rsidRDefault="006F0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7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A94568" w14:textId="77777777" w:rsidR="006F05B2" w:rsidRDefault="006F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DB7D" w14:textId="77777777" w:rsidR="00E14E84" w:rsidRDefault="00E14E84" w:rsidP="00867557">
      <w:r>
        <w:separator/>
      </w:r>
    </w:p>
  </w:footnote>
  <w:footnote w:type="continuationSeparator" w:id="0">
    <w:p w14:paraId="596DB802" w14:textId="77777777" w:rsidR="00E14E84" w:rsidRDefault="00E14E84" w:rsidP="0086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E41"/>
    <w:multiLevelType w:val="hybridMultilevel"/>
    <w:tmpl w:val="EA06A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5142E"/>
    <w:multiLevelType w:val="hybridMultilevel"/>
    <w:tmpl w:val="01A8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64F"/>
    <w:multiLevelType w:val="hybridMultilevel"/>
    <w:tmpl w:val="6F8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70BD"/>
    <w:multiLevelType w:val="hybridMultilevel"/>
    <w:tmpl w:val="B9EE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28B8"/>
    <w:multiLevelType w:val="hybridMultilevel"/>
    <w:tmpl w:val="A2A4D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49CC"/>
    <w:multiLevelType w:val="hybridMultilevel"/>
    <w:tmpl w:val="D29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76"/>
    <w:rsid w:val="00001DBD"/>
    <w:rsid w:val="000147D0"/>
    <w:rsid w:val="000231B6"/>
    <w:rsid w:val="00030391"/>
    <w:rsid w:val="00033848"/>
    <w:rsid w:val="000522E6"/>
    <w:rsid w:val="000534BF"/>
    <w:rsid w:val="0005731C"/>
    <w:rsid w:val="00062E62"/>
    <w:rsid w:val="00072180"/>
    <w:rsid w:val="000847F2"/>
    <w:rsid w:val="00095C46"/>
    <w:rsid w:val="000B3683"/>
    <w:rsid w:val="000C1E73"/>
    <w:rsid w:val="000D3360"/>
    <w:rsid w:val="000D5295"/>
    <w:rsid w:val="00103536"/>
    <w:rsid w:val="00106708"/>
    <w:rsid w:val="00110052"/>
    <w:rsid w:val="001469D0"/>
    <w:rsid w:val="0015748A"/>
    <w:rsid w:val="001633FF"/>
    <w:rsid w:val="001660F2"/>
    <w:rsid w:val="00166B6F"/>
    <w:rsid w:val="00176F48"/>
    <w:rsid w:val="00177B4C"/>
    <w:rsid w:val="001926AE"/>
    <w:rsid w:val="001A0BAB"/>
    <w:rsid w:val="001C00B0"/>
    <w:rsid w:val="001C4DB8"/>
    <w:rsid w:val="001F273C"/>
    <w:rsid w:val="00201E39"/>
    <w:rsid w:val="00232708"/>
    <w:rsid w:val="002357FF"/>
    <w:rsid w:val="00242661"/>
    <w:rsid w:val="002516D0"/>
    <w:rsid w:val="002579E5"/>
    <w:rsid w:val="00294EB5"/>
    <w:rsid w:val="00294FCF"/>
    <w:rsid w:val="00295489"/>
    <w:rsid w:val="002A2495"/>
    <w:rsid w:val="002D2F04"/>
    <w:rsid w:val="002D4091"/>
    <w:rsid w:val="002E3236"/>
    <w:rsid w:val="002F5CDB"/>
    <w:rsid w:val="0030411C"/>
    <w:rsid w:val="00351906"/>
    <w:rsid w:val="00351EC7"/>
    <w:rsid w:val="00360560"/>
    <w:rsid w:val="00363544"/>
    <w:rsid w:val="00365C66"/>
    <w:rsid w:val="00395723"/>
    <w:rsid w:val="003F627B"/>
    <w:rsid w:val="00405D30"/>
    <w:rsid w:val="00412C5A"/>
    <w:rsid w:val="0042488D"/>
    <w:rsid w:val="004363B4"/>
    <w:rsid w:val="00462755"/>
    <w:rsid w:val="004874CB"/>
    <w:rsid w:val="004A6F5A"/>
    <w:rsid w:val="004C29A7"/>
    <w:rsid w:val="004C2E86"/>
    <w:rsid w:val="004C31B3"/>
    <w:rsid w:val="004C327C"/>
    <w:rsid w:val="004C601F"/>
    <w:rsid w:val="004F1303"/>
    <w:rsid w:val="004F3421"/>
    <w:rsid w:val="004F4901"/>
    <w:rsid w:val="00502549"/>
    <w:rsid w:val="00504EFF"/>
    <w:rsid w:val="0054188F"/>
    <w:rsid w:val="00543CCA"/>
    <w:rsid w:val="00545C89"/>
    <w:rsid w:val="0054705B"/>
    <w:rsid w:val="005475DD"/>
    <w:rsid w:val="00562A80"/>
    <w:rsid w:val="005662DC"/>
    <w:rsid w:val="005813FF"/>
    <w:rsid w:val="00582593"/>
    <w:rsid w:val="00582911"/>
    <w:rsid w:val="00583900"/>
    <w:rsid w:val="005919F6"/>
    <w:rsid w:val="00593D9B"/>
    <w:rsid w:val="00596103"/>
    <w:rsid w:val="005B1935"/>
    <w:rsid w:val="005B1FAF"/>
    <w:rsid w:val="005B5685"/>
    <w:rsid w:val="005B5C9E"/>
    <w:rsid w:val="005B6362"/>
    <w:rsid w:val="005B70F8"/>
    <w:rsid w:val="005E450D"/>
    <w:rsid w:val="005E6868"/>
    <w:rsid w:val="005F56B4"/>
    <w:rsid w:val="00615722"/>
    <w:rsid w:val="006305BF"/>
    <w:rsid w:val="00634B97"/>
    <w:rsid w:val="006410E9"/>
    <w:rsid w:val="00643F40"/>
    <w:rsid w:val="0065139A"/>
    <w:rsid w:val="0065641C"/>
    <w:rsid w:val="006654FF"/>
    <w:rsid w:val="006910B4"/>
    <w:rsid w:val="00696896"/>
    <w:rsid w:val="006A49F0"/>
    <w:rsid w:val="006A6DD9"/>
    <w:rsid w:val="006C2419"/>
    <w:rsid w:val="006E6B0B"/>
    <w:rsid w:val="006F05B2"/>
    <w:rsid w:val="006F7481"/>
    <w:rsid w:val="006F7C28"/>
    <w:rsid w:val="007239AF"/>
    <w:rsid w:val="0073179E"/>
    <w:rsid w:val="007355F6"/>
    <w:rsid w:val="007800C2"/>
    <w:rsid w:val="00783709"/>
    <w:rsid w:val="0078631E"/>
    <w:rsid w:val="00786F76"/>
    <w:rsid w:val="007C5643"/>
    <w:rsid w:val="007D2828"/>
    <w:rsid w:val="007E203A"/>
    <w:rsid w:val="007E2ADA"/>
    <w:rsid w:val="00827730"/>
    <w:rsid w:val="0083309A"/>
    <w:rsid w:val="00862118"/>
    <w:rsid w:val="00867557"/>
    <w:rsid w:val="00880605"/>
    <w:rsid w:val="008854E4"/>
    <w:rsid w:val="008C1060"/>
    <w:rsid w:val="008D1D6D"/>
    <w:rsid w:val="009013E3"/>
    <w:rsid w:val="00914207"/>
    <w:rsid w:val="0096766B"/>
    <w:rsid w:val="00980706"/>
    <w:rsid w:val="009975E9"/>
    <w:rsid w:val="009A0ED1"/>
    <w:rsid w:val="009B4FC7"/>
    <w:rsid w:val="009C11DD"/>
    <w:rsid w:val="009D460E"/>
    <w:rsid w:val="009E27D4"/>
    <w:rsid w:val="00A014C3"/>
    <w:rsid w:val="00A016C3"/>
    <w:rsid w:val="00A25FFE"/>
    <w:rsid w:val="00A455F3"/>
    <w:rsid w:val="00AA1AC4"/>
    <w:rsid w:val="00AC270D"/>
    <w:rsid w:val="00AC5C41"/>
    <w:rsid w:val="00B22B23"/>
    <w:rsid w:val="00B350E3"/>
    <w:rsid w:val="00B45D36"/>
    <w:rsid w:val="00B7330A"/>
    <w:rsid w:val="00B91FCA"/>
    <w:rsid w:val="00B97D06"/>
    <w:rsid w:val="00BB1181"/>
    <w:rsid w:val="00BD3CFF"/>
    <w:rsid w:val="00BD7092"/>
    <w:rsid w:val="00BE41E5"/>
    <w:rsid w:val="00BE6B69"/>
    <w:rsid w:val="00BF086F"/>
    <w:rsid w:val="00BF4A01"/>
    <w:rsid w:val="00BF7F10"/>
    <w:rsid w:val="00C24669"/>
    <w:rsid w:val="00C42B2F"/>
    <w:rsid w:val="00C525BE"/>
    <w:rsid w:val="00C70135"/>
    <w:rsid w:val="00C85019"/>
    <w:rsid w:val="00C851C8"/>
    <w:rsid w:val="00CA58D9"/>
    <w:rsid w:val="00CE316C"/>
    <w:rsid w:val="00CE770A"/>
    <w:rsid w:val="00CE7C88"/>
    <w:rsid w:val="00D1293F"/>
    <w:rsid w:val="00D30227"/>
    <w:rsid w:val="00D34F76"/>
    <w:rsid w:val="00D87695"/>
    <w:rsid w:val="00DE18D5"/>
    <w:rsid w:val="00DE1E60"/>
    <w:rsid w:val="00DE6C17"/>
    <w:rsid w:val="00DF513C"/>
    <w:rsid w:val="00DF5A42"/>
    <w:rsid w:val="00E14E84"/>
    <w:rsid w:val="00E40D7B"/>
    <w:rsid w:val="00E45EA1"/>
    <w:rsid w:val="00E755CA"/>
    <w:rsid w:val="00E92745"/>
    <w:rsid w:val="00E9707F"/>
    <w:rsid w:val="00EB3E12"/>
    <w:rsid w:val="00EB557C"/>
    <w:rsid w:val="00EF244D"/>
    <w:rsid w:val="00EF2542"/>
    <w:rsid w:val="00EF558B"/>
    <w:rsid w:val="00EF7279"/>
    <w:rsid w:val="00F017C6"/>
    <w:rsid w:val="00F04373"/>
    <w:rsid w:val="00F069E6"/>
    <w:rsid w:val="00F137F7"/>
    <w:rsid w:val="00F506C5"/>
    <w:rsid w:val="00F62C44"/>
    <w:rsid w:val="00F65FE9"/>
    <w:rsid w:val="00F74BCE"/>
    <w:rsid w:val="00F810FC"/>
    <w:rsid w:val="00F92EB5"/>
    <w:rsid w:val="00FA4B60"/>
    <w:rsid w:val="00FA54A9"/>
    <w:rsid w:val="00FA6BBD"/>
    <w:rsid w:val="00FA7B42"/>
    <w:rsid w:val="00FE4F7E"/>
    <w:rsid w:val="00FF3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2FF654"/>
  <w15:docId w15:val="{4CA54A30-086D-4773-8448-1AE5889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27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F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C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488D"/>
    <w:rPr>
      <w:i/>
      <w:iCs/>
    </w:rPr>
  </w:style>
  <w:style w:type="table" w:styleId="TableGrid">
    <w:name w:val="Table Grid"/>
    <w:basedOn w:val="TableNormal"/>
    <w:uiPriority w:val="39"/>
    <w:rsid w:val="009C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6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0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0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C32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10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5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57"/>
    <w:rPr>
      <w:sz w:val="24"/>
      <w:szCs w:val="24"/>
    </w:rPr>
  </w:style>
  <w:style w:type="character" w:customStyle="1" w:styleId="object-hover2">
    <w:name w:val="object-hover2"/>
    <w:basedOn w:val="DefaultParagraphFont"/>
    <w:rsid w:val="002357FF"/>
    <w:rPr>
      <w:color w:val="00008B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A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E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975E83C7448459F195268BAF9545F" ma:contentTypeVersion="4" ma:contentTypeDescription="Create a new document." ma:contentTypeScope="" ma:versionID="c7d156db08e6fc377ad9a0f55830178c">
  <xsd:schema xmlns:xsd="http://www.w3.org/2001/XMLSchema" xmlns:xs="http://www.w3.org/2001/XMLSchema" xmlns:p="http://schemas.microsoft.com/office/2006/metadata/properties" xmlns:ns2="0d7086cb-dd11-4e13-936c-b3c3be5b4d0b" targetNamespace="http://schemas.microsoft.com/office/2006/metadata/properties" ma:root="true" ma:fieldsID="e8ef8202a61488d6f0307bd3f1eb6af7" ns2:_="">
    <xsd:import namespace="0d7086cb-dd11-4e13-936c-b3c3be5b4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086cb-dd11-4e13-936c-b3c3be5b4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4DA15-F4E9-437F-89CE-D3DAA740587E}"/>
</file>

<file path=customXml/itemProps2.xml><?xml version="1.0" encoding="utf-8"?>
<ds:datastoreItem xmlns:ds="http://schemas.openxmlformats.org/officeDocument/2006/customXml" ds:itemID="{C6BA8F9A-97AF-4B83-B92E-1E2C82FC5FEC}"/>
</file>

<file path=customXml/itemProps3.xml><?xml version="1.0" encoding="utf-8"?>
<ds:datastoreItem xmlns:ds="http://schemas.openxmlformats.org/officeDocument/2006/customXml" ds:itemID="{E2021F07-BC51-4E7C-9E35-C917D4404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Allen College</dc:creator>
  <cp:lastModifiedBy>Young, Alasdair R</cp:lastModifiedBy>
  <cp:revision>3</cp:revision>
  <cp:lastPrinted>2014-01-07T17:21:00Z</cp:lastPrinted>
  <dcterms:created xsi:type="dcterms:W3CDTF">2019-09-29T20:05:00Z</dcterms:created>
  <dcterms:modified xsi:type="dcterms:W3CDTF">2019-09-30T14:47:00Z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0x01010028F975E83C7448459F195268BAF9545F</vt:lpwstr>
  </property>
</Properties>
</file>